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" w:firstLine="0"/>
        <w:jc w:val="center"/>
        <w:rPr>
          <w:rFonts w:ascii="Chivo" w:cs="Chivo" w:eastAsia="Chivo" w:hAnsi="Chivo"/>
          <w:b w:val="1"/>
          <w:bCs w:val="1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 Synthesis of responses of Estonia</w:t>
      </w:r>
    </w:p>
    <w:p w:rsidR="00000000" w:rsidDel="00000000" w:rsidP="00000000" w:rsidRDefault="00000000" w:rsidRPr="00000000" w14:paraId="00000002">
      <w:pPr>
        <w:ind w:left="360" w:firstLine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Chivo" w:cs="Chivo" w:eastAsia="Chivo" w:hAnsi="Chivo"/>
          <w:i w:val="1"/>
          <w:iCs w:val="1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Acknowledgement: </w:t>
      </w:r>
      <w:r w:rsidDel="00000000" w:rsidR="00000000" w:rsidRPr="00000000">
        <w:rPr>
          <w:rFonts w:ascii="Chivo" w:cs="Chivo" w:eastAsia="Chivo" w:hAnsi="Chivo"/>
          <w:i w:val="1"/>
          <w:iCs w:val="1"/>
          <w:sz w:val="20"/>
          <w:szCs w:val="20"/>
          <w:rtl w:val="0"/>
        </w:rPr>
        <w:t xml:space="preserve">Kuldar Aas &amp; Aleksandr Michelson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c069cwmj84yk" w:id="0"/>
      <w:bookmarkEnd w:id="0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1. What concrete incentives would motivate tourism businesses to contribute data to a European tourism data space? Are incentives primarily economic, strategic, regulatory, or reputational?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Concrete incentives identified: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Low-barrier practical tools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: “ETDS-approved” plug-and-play apps, Excel add-ins, and lightweight connectors that automate compliance and simplify data sharing.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Supported onboarding for SMEs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: templates, helpdesk support, training.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Cost savings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from shared infrastructure.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Reduced ad-hoc compliance burden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through standardized procedures.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Improved competitiveness and resilience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through better policy and crisis management.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Primary incentive types: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Strategic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(competitiveness, resilience, ecosystem development) &amp;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Economic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(efficiency gains, cost savings)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Not emphasized: No strong regulatory or reputational incentives mentioned, Participation is implied to be voluntary, Insufficient private-sector incentives are noted as a broader ETDS obstacle.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r08k9rx6dvry" w:id="1"/>
      <w:bookmarkEnd w:id="1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2. How would shared tourism data generate tangible value (e.g., AI-driven services, destination competitiveness, policy optimization)?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Value generation mechanisms: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Transparent and reusable open data access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(e.g., 8,000+ attraction/event records via national open data portals).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Improved policy-making and economic planning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(e.g., dashboards and statistical analysis).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Better balance-of-payments and macroeconomic monitoring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Enhanced tourism ecosystem value creation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through national tourism data space development.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Improved crisis management and resilience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Automated reporting pilots and harmonized platforms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enabling faster practical implementation.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explicit reference to AI-driven services, but the context (data economy development, automation, structured access) implies future potential.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e9hp6094zsus" w:id="2"/>
      <w:bookmarkEnd w:id="2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3. Who would be the primary beneficiaries of this value creation?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Implied primary beneficiaries: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Public authorities and policymakers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(policy optimization, economic planning, statistical analysis).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The tourism ecosystem overall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(competitiveness, resilience).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SMEs and tourism businesses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(indirect benefits via improved tools and market conditions).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Data users and providers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through feedback mechanisms (e.g., working groups and coordinated exchanges).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explicit ranking is provided, but public authorities and the wider tourism ecosystem are most clearly emphasized.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n9po6rxlb2qf" w:id="3"/>
      <w:bookmarkEnd w:id="3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4. How should benefits derived from shared data be distributed among public authorities and private actors? Should contributors receive preferential access or financial compensation?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direct distribution model is specified.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Observed principles: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Emphasis on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fair and low-barrier access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(e.g., open data portals).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Focus on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standardized procedures and templates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to reduce compliance burden.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mention of:</w:t>
      </w:r>
    </w:p>
    <w:p w:rsidR="00000000" w:rsidDel="00000000" w:rsidP="00000000" w:rsidRDefault="00000000" w:rsidRPr="00000000" w14:paraId="0000002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Preferential access for contributors.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Financial compensation mechanisms.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Revenue-sharing models.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Preference for lightweight, practical approaches without new mandates.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f4dki58kip3y" w:id="4"/>
      <w:bookmarkEnd w:id="4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5. What barriers might prevent SMEs from participating? What mechanisms could ensure inclusive participation?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Main barriers: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Uneven digital maturity.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Lack of standardized procedures and templates leading to ad-hoc compliance.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Technical barriers (incompatible formats, lack of APIs, data quality and language differences).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Legal complexity (GDPR, sectoral rules, competition law).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Advanced systems (e.g., public-sector infrastructures) may be difficult for smaller stakeholders to access.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Mechanisms for inclusion: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Plug-and-play apps and lightweight connectors.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Excel add-ins and practical integration tools.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Standardized templates and procedures.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Helpdesk support and training.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Focus on usability over abstract standardization.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SME-focused development in national initiatives.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Legal barriers are considered manageable with proper guidance and standardized agreements.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7nmk5tq0vqv6" w:id="5"/>
      <w:bookmarkEnd w:id="5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6. Would contractual agreements provide sufficient stability for such collaboration from a tourism administration perspective?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Implied position: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Existing EU frameworks (GDPR, Data Governance Act, Open Data Directive, NIS2, AI Act, Data Act) are considered sufficient for current one-to-one exchanges.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Barriers are manageable through procedures, guidance, and standardized agreements.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The main gap is practical implementation experience, not regulatory absence.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immediate need for additional regulation is foreseen.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351c75"/>
          <w:sz w:val="20"/>
          <w:szCs w:val="20"/>
        </w:rPr>
      </w:pPr>
      <w:bookmarkStart w:colFirst="0" w:colLast="0" w:name="_nfi2oj3jifp1" w:id="6"/>
      <w:bookmarkEnd w:id="6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7.Do current legal frameworks create sufficient certainty for private tourism actors to share data?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hivo" w:cs="Chivo" w:eastAsia="Chivo" w:hAnsi="Chivo"/>
          <w:b w:val="1"/>
          <w:bCs w:val="1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Position: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Partially sufficient, but improvable.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Key points: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Legal barriers exist (GDPR, sectoral rules, competition law), but are considered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manageable and solvable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 with proper procedures.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Clarity and enforceability appear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moderate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, mainly due to the lack of standardized templates and guidance.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Existing EU frameworks (e.g., GDPR, Data Governance Act, Data Act, Open Data Directive, AI Act, NIS2) are viewed as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sufficient for current one-to-one exchanges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immediate need for additional regulation is foreseen due to limited practical experience with full-scale data spaces.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Certainty is regarded as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adequate but improvable through guidance, tools, and standard agreements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, rather than new legislation.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tourism-specific legal gaps are explicitly identified.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000000"/>
          <w:sz w:val="20"/>
          <w:szCs w:val="20"/>
        </w:rPr>
      </w:pPr>
      <w:bookmarkStart w:colFirst="0" w:colLast="0" w:name="_eghr81y3udy4" w:id="7"/>
      <w:bookmarkEnd w:id="7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8. Can contracts adequately regulate AI-driven data processing within a shared tourism data environment?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specific information is provided on AI-driven processing in tourism data sharing.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Available indications: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The AI Act is acknowledged as part of the applicable EU legal framework.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The general approach favors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standard agreements, templates, and lightweight governance mechanisms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call is made for tourism-specific AI regulation.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assessment is provided on whether contracts alone would be sufficient for regulating AI-driven processing.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000000"/>
          <w:sz w:val="20"/>
          <w:szCs w:val="20"/>
        </w:rPr>
      </w:pPr>
      <w:bookmarkStart w:colFirst="0" w:colLast="0" w:name="_u4vyswy4sw1z" w:id="8"/>
      <w:bookmarkEnd w:id="8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9. How should data rights and usage rights be legally structured to ensure fair benefit distribution?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Observed approach: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Reliance on existing EU frameworks (e.g., Data Act, Open Data Directive).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Emphasis on harmonization through </w:t>
      </w:r>
      <w:r w:rsidDel="00000000" w:rsidR="00000000" w:rsidRPr="00000000">
        <w:rPr>
          <w:rFonts w:ascii="Chivo" w:cs="Chivo" w:eastAsia="Chivo" w:hAnsi="Chivo"/>
          <w:b w:val="1"/>
          <w:bCs w:val="1"/>
          <w:sz w:val="20"/>
          <w:szCs w:val="20"/>
          <w:rtl w:val="0"/>
        </w:rPr>
        <w:t xml:space="preserve">practical tools, standards, and usable mechanisms</w:t>
      </w: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, rather than new legal structures.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Focus on trust-building through clarity, accessibility, and standardized procedures.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No discussion of preferential access, compensation schemes, or specific redistribution mechanisms.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ind w:left="720" w:hanging="360"/>
        <w:rPr>
          <w:rFonts w:ascii="Chivo" w:cs="Chivo" w:eastAsia="Chivo" w:hAnsi="Chivo"/>
          <w:b w:val="1"/>
          <w:bCs w:val="1"/>
          <w:color w:val="000000"/>
          <w:sz w:val="20"/>
          <w:szCs w:val="20"/>
        </w:rPr>
      </w:pPr>
      <w:bookmarkStart w:colFirst="0" w:colLast="0" w:name="_2l665csz4043" w:id="9"/>
      <w:bookmarkEnd w:id="9"/>
      <w:r w:rsidDel="00000000" w:rsidR="00000000" w:rsidRPr="00000000">
        <w:rPr>
          <w:rFonts w:ascii="Chivo" w:cs="Chivo" w:eastAsia="Chivo" w:hAnsi="Chivo"/>
          <w:b w:val="1"/>
          <w:bCs w:val="1"/>
          <w:color w:val="351c75"/>
          <w:sz w:val="20"/>
          <w:szCs w:val="20"/>
          <w:rtl w:val="0"/>
        </w:rPr>
        <w:t xml:space="preserve">10. How should liability be allocated in cases of misuse or algorithmic harm?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Related observations: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Legal and compliance complexity can create practical barriers, particularly for SMEs.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Current barriers are described as manageable but burdensome due to ad-hoc compliance efforts.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The recommended solution is harmonization through templates, guidance, and onboarding support to reduce compliance burden.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sz w:val="20"/>
          <w:szCs w:val="20"/>
          <w:rtl w:val="0"/>
        </w:rPr>
        <w:t xml:space="preserve">Liability allocation is not addressed; the broader focus is on reducing compliance complexity rather than redefining liability structures.</w:t>
      </w:r>
    </w:p>
    <w:p w:rsidR="00000000" w:rsidDel="00000000" w:rsidP="00000000" w:rsidRDefault="00000000" w:rsidRPr="00000000" w14:paraId="00000059">
      <w:pPr>
        <w:ind w:left="0" w:firstLine="0"/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hivo" w:cs="Chivo" w:eastAsia="Chivo" w:hAnsi="Chiv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ivo-regular.ttf"/><Relationship Id="rId2" Type="http://schemas.openxmlformats.org/officeDocument/2006/relationships/font" Target="fonts/Chivo-bold.ttf"/><Relationship Id="rId3" Type="http://schemas.openxmlformats.org/officeDocument/2006/relationships/font" Target="fonts/Chivo-italic.ttf"/><Relationship Id="rId4" Type="http://schemas.openxmlformats.org/officeDocument/2006/relationships/font" Target="fonts/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